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w:t>
            </w:r>
          </w:p>
          <w:p>
            <w:pPr>
              <w:jc w:val="left"/>
              <w:spacing w:after="0" w:line="240" w:lineRule="auto"/>
              <w:rPr>
                <w:sz w:val="24"/>
                <w:szCs w:val="24"/>
              </w:rPr>
            </w:pPr>
            <w:r>
              <w:rPr>
                <w:rFonts w:ascii="Times New Roman" w:hAnsi="Times New Roman" w:cs="Times New Roman"/>
                <w:color w:val="#000000"/>
                <w:sz w:val="24"/>
                <w:szCs w:val="24"/>
              </w:rPr>
              <w:t> работы с обучающимися им их родителями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46.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left"/>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left"/>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left"/>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left"/>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left"/>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left"/>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left"/>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left"/>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left"/>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left"/>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left"/>
              <w:spacing w:after="0" w:line="240" w:lineRule="auto"/>
              <w:rPr>
                <w:sz w:val="24"/>
                <w:szCs w:val="24"/>
              </w:rPr>
            </w:pPr>
            <w:r>
              <w:rPr>
                <w:rFonts w:ascii="Times New Roman" w:hAnsi="Times New Roman" w:cs="Times New Roman"/>
                <w:color w:val="#000000"/>
                <w:sz w:val="24"/>
                <w:szCs w:val="24"/>
              </w:rPr>
              <w:t> воспитания.</w:t>
            </w:r>
          </w:p>
          <w:p>
            <w:pPr>
              <w:jc w:val="left"/>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left"/>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left"/>
              <w:spacing w:after="0" w:line="240" w:lineRule="auto"/>
              <w:rPr>
                <w:sz w:val="24"/>
                <w:szCs w:val="24"/>
              </w:rPr>
            </w:pPr>
            <w:r>
              <w:rPr>
                <w:rFonts w:ascii="Times New Roman" w:hAnsi="Times New Roman" w:cs="Times New Roman"/>
                <w:color w:val="#000000"/>
                <w:sz w:val="24"/>
                <w:szCs w:val="24"/>
              </w:rPr>
              <w:t> 7. Половое воспитание.</w:t>
            </w:r>
          </w:p>
          <w:p>
            <w:pPr>
              <w:jc w:val="left"/>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left"/>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left"/>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left"/>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14.4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2023-2024_ФГОС3++2023_Бак-ОФО-ПО2(ДОиНО)(23)_plx_Технологии организации работы с родителями младших школьников</dc:title>
  <dc:creator>FastReport.NET</dc:creator>
</cp:coreProperties>
</file>